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06B7F" w14:textId="52AE434C" w:rsidR="00070F9A" w:rsidRPr="00517EB1" w:rsidRDefault="00977B7B" w:rsidP="0032571B">
      <w:pPr>
        <w:jc w:val="both"/>
        <w:rPr>
          <w:sz w:val="22"/>
          <w:szCs w:val="22"/>
          <w:lang w:val="el-GR"/>
        </w:rPr>
      </w:pPr>
      <w:r>
        <w:rPr>
          <w:noProof/>
          <w:sz w:val="22"/>
          <w:szCs w:val="22"/>
          <w:lang w:val="el-GR" w:eastAsia="el-GR"/>
        </w:rPr>
        <w:drawing>
          <wp:anchor distT="0" distB="0" distL="114300" distR="114300" simplePos="0" relativeHeight="251657728" behindDoc="0" locked="0" layoutInCell="1" allowOverlap="1" wp14:anchorId="187C4C58" wp14:editId="5D629B8D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622300" cy="622300"/>
            <wp:effectExtent l="0" t="0" r="12700" b="12700"/>
            <wp:wrapNone/>
            <wp:docPr id="12" name="Picture 12" descr="ath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the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899A4" w14:textId="77777777" w:rsidR="00070F9A" w:rsidRPr="00517EB1" w:rsidRDefault="00070F9A" w:rsidP="0032571B">
      <w:pPr>
        <w:jc w:val="both"/>
        <w:rPr>
          <w:sz w:val="22"/>
          <w:szCs w:val="22"/>
          <w:lang w:val="el-GR"/>
        </w:rPr>
      </w:pPr>
    </w:p>
    <w:p w14:paraId="406AEC63" w14:textId="77777777" w:rsidR="00517EB1" w:rsidRPr="00517EB1" w:rsidRDefault="00517EB1" w:rsidP="0032571B">
      <w:pPr>
        <w:jc w:val="both"/>
        <w:rPr>
          <w:sz w:val="22"/>
          <w:szCs w:val="22"/>
          <w:lang w:val="el-GR"/>
        </w:rPr>
      </w:pPr>
    </w:p>
    <w:p w14:paraId="24FAE78A" w14:textId="77777777" w:rsidR="00040DDD" w:rsidRDefault="00040DDD" w:rsidP="0032571B">
      <w:pPr>
        <w:jc w:val="center"/>
        <w:rPr>
          <w:lang w:val="el-GR"/>
        </w:rPr>
      </w:pPr>
    </w:p>
    <w:p w14:paraId="60FB7A90" w14:textId="77777777" w:rsidR="00F41BAA" w:rsidRPr="00517EB1" w:rsidRDefault="00F41BAA" w:rsidP="0032571B">
      <w:pPr>
        <w:jc w:val="center"/>
        <w:rPr>
          <w:lang w:val="el-GR"/>
        </w:rPr>
      </w:pPr>
      <w:r w:rsidRPr="00517EB1">
        <w:rPr>
          <w:lang w:val="el-GR"/>
        </w:rPr>
        <w:t>ΕΘΝΙΚΟ ΚΑΙ ΚΑΠΟΔΙΣΤΡΙΑΚΟ ΠΑΝΕΠΙΣΤΗΜΙΟ ΑΘΗΝΩΝ</w:t>
      </w:r>
    </w:p>
    <w:p w14:paraId="2A99D608" w14:textId="77777777" w:rsidR="00F41BAA" w:rsidRDefault="00F41BAA" w:rsidP="0032571B">
      <w:pPr>
        <w:jc w:val="center"/>
        <w:rPr>
          <w:lang w:val="el-GR"/>
        </w:rPr>
      </w:pPr>
      <w:r w:rsidRPr="00517EB1">
        <w:rPr>
          <w:lang w:val="el-GR"/>
        </w:rPr>
        <w:t>ΤΜΗΜΑ ΟΙΚΟΝΟΜΙΚΩΝ ΕΠΙΣΤΗΜΩΝ</w:t>
      </w:r>
    </w:p>
    <w:p w14:paraId="172D4BFE" w14:textId="0BE7282C" w:rsidR="00DE2F6B" w:rsidRPr="00517EB1" w:rsidRDefault="00DE2F6B" w:rsidP="0032571B">
      <w:pPr>
        <w:jc w:val="center"/>
        <w:rPr>
          <w:lang w:val="el-GR"/>
        </w:rPr>
      </w:pPr>
      <w:r>
        <w:rPr>
          <w:lang w:val="el-GR"/>
        </w:rPr>
        <w:t>ΤΟΜΕΑΣ ΠΟΛΙΤΙΚΗΣ ΟΙΚΟΝΟΜΙΑΣ</w:t>
      </w:r>
    </w:p>
    <w:p w14:paraId="6AB4C413" w14:textId="77777777" w:rsidR="00F41BAA" w:rsidRPr="00517EB1" w:rsidRDefault="00F41BAA" w:rsidP="0032571B">
      <w:pPr>
        <w:jc w:val="center"/>
        <w:rPr>
          <w:sz w:val="12"/>
          <w:lang w:val="el-GR"/>
        </w:rPr>
      </w:pPr>
    </w:p>
    <w:p w14:paraId="75BC8808" w14:textId="77777777" w:rsidR="00977B7B" w:rsidRPr="00CD5A05" w:rsidRDefault="00977B7B" w:rsidP="0032571B">
      <w:pPr>
        <w:jc w:val="center"/>
        <w:rPr>
          <w:b/>
          <w:lang w:val="el-GR"/>
        </w:rPr>
      </w:pPr>
    </w:p>
    <w:p w14:paraId="48916A81" w14:textId="77777777" w:rsidR="00040DDD" w:rsidRPr="00CD5A05" w:rsidRDefault="00040DDD" w:rsidP="0032571B">
      <w:pPr>
        <w:jc w:val="center"/>
        <w:rPr>
          <w:b/>
          <w:lang w:val="el-GR"/>
        </w:rPr>
      </w:pPr>
    </w:p>
    <w:p w14:paraId="33D2FE92" w14:textId="0259E5C5" w:rsidR="00F41BAA" w:rsidRPr="00B87D64" w:rsidRDefault="00517EB1" w:rsidP="0032571B">
      <w:pPr>
        <w:jc w:val="center"/>
        <w:rPr>
          <w:b/>
          <w:lang w:val="el-GR"/>
        </w:rPr>
      </w:pPr>
      <w:r w:rsidRPr="00B87D64">
        <w:rPr>
          <w:b/>
          <w:lang w:val="el-GR"/>
        </w:rPr>
        <w:t>Εισαγωγή στην Οικονομική Ανάλυση</w:t>
      </w:r>
    </w:p>
    <w:p w14:paraId="407CEF92" w14:textId="77777777" w:rsidR="00F41BAA" w:rsidRPr="00291748" w:rsidRDefault="00F41BAA" w:rsidP="0032571B">
      <w:pPr>
        <w:jc w:val="center"/>
        <w:rPr>
          <w:sz w:val="16"/>
          <w:szCs w:val="16"/>
          <w:lang w:val="el-GR"/>
        </w:rPr>
      </w:pPr>
    </w:p>
    <w:p w14:paraId="5CBB8DB2" w14:textId="77777777" w:rsidR="00977B7B" w:rsidRDefault="00977B7B" w:rsidP="0032571B">
      <w:pPr>
        <w:rPr>
          <w:lang w:val="el-GR"/>
        </w:rPr>
      </w:pPr>
    </w:p>
    <w:p w14:paraId="0DAFBABF" w14:textId="77777777" w:rsidR="00040DDD" w:rsidRDefault="00040DDD" w:rsidP="0032571B">
      <w:pPr>
        <w:rPr>
          <w:lang w:val="el-GR"/>
        </w:rPr>
      </w:pPr>
    </w:p>
    <w:p w14:paraId="13FF874A" w14:textId="4B275221" w:rsidR="00F41BAA" w:rsidRPr="001F6CD3" w:rsidRDefault="00785C5D" w:rsidP="0032571B">
      <w:pPr>
        <w:rPr>
          <w:lang w:val="el-GR"/>
        </w:rPr>
      </w:pPr>
      <w:r>
        <w:rPr>
          <w:lang w:val="el-GR"/>
        </w:rPr>
        <w:t xml:space="preserve">Να απαντηθούν </w:t>
      </w:r>
      <w:r w:rsidR="008A6D50">
        <w:rPr>
          <w:lang w:val="el-GR"/>
        </w:rPr>
        <w:t xml:space="preserve">δύο </w:t>
      </w:r>
      <w:r w:rsidR="00DF0D2E">
        <w:rPr>
          <w:lang w:val="el-GR"/>
        </w:rPr>
        <w:t>θέματα</w:t>
      </w:r>
      <w:r w:rsidR="002F06AB">
        <w:rPr>
          <w:lang w:val="el-GR"/>
        </w:rPr>
        <w:t xml:space="preserve">                            </w:t>
      </w:r>
      <w:r w:rsidR="00DF0D2E">
        <w:rPr>
          <w:lang w:val="el-GR"/>
        </w:rPr>
        <w:tab/>
      </w:r>
      <w:r w:rsidR="002F06AB">
        <w:rPr>
          <w:lang w:val="el-GR"/>
        </w:rPr>
        <w:t xml:space="preserve">                       </w:t>
      </w:r>
      <w:r w:rsidR="008A6D50">
        <w:rPr>
          <w:lang w:val="el-GR"/>
        </w:rPr>
        <w:t xml:space="preserve">               </w:t>
      </w:r>
      <w:r w:rsidR="00DF0D2E">
        <w:rPr>
          <w:lang w:val="el-GR"/>
        </w:rPr>
        <w:t xml:space="preserve">Ιούνιος </w:t>
      </w:r>
      <w:r w:rsidR="002F06AB">
        <w:rPr>
          <w:lang w:val="el-GR"/>
        </w:rPr>
        <w:t xml:space="preserve"> 201</w:t>
      </w:r>
      <w:r w:rsidR="00DF0D2E">
        <w:rPr>
          <w:lang w:val="el-GR"/>
        </w:rPr>
        <w:t>8</w:t>
      </w:r>
    </w:p>
    <w:p w14:paraId="4CF5CDCA" w14:textId="77777777" w:rsidR="00F41BAA" w:rsidRPr="00B87D64" w:rsidRDefault="00F41BAA" w:rsidP="0032571B">
      <w:pPr>
        <w:pBdr>
          <w:bottom w:val="single" w:sz="6" w:space="1" w:color="auto"/>
        </w:pBdr>
        <w:jc w:val="both"/>
        <w:rPr>
          <w:sz w:val="22"/>
          <w:szCs w:val="22"/>
          <w:lang w:val="el-GR"/>
        </w:rPr>
      </w:pPr>
      <w:r w:rsidRPr="00517EB1">
        <w:rPr>
          <w:lang w:val="el-GR"/>
        </w:rPr>
        <w:t xml:space="preserve">  </w:t>
      </w:r>
    </w:p>
    <w:p w14:paraId="3B3A3727" w14:textId="77777777" w:rsidR="00517EB1" w:rsidRPr="00445FDF" w:rsidRDefault="00517EB1" w:rsidP="0032571B">
      <w:pPr>
        <w:jc w:val="both"/>
        <w:rPr>
          <w:b/>
          <w:bCs/>
          <w:lang w:val="el-GR"/>
        </w:rPr>
      </w:pPr>
    </w:p>
    <w:p w14:paraId="2B2201F4" w14:textId="121F345E" w:rsidR="00F41BAA" w:rsidRPr="00F8052E" w:rsidRDefault="00F41BAA" w:rsidP="0032571B">
      <w:pPr>
        <w:jc w:val="both"/>
        <w:rPr>
          <w:lang w:val="el-GR"/>
        </w:rPr>
      </w:pPr>
      <w:r w:rsidRPr="006B2CA8">
        <w:rPr>
          <w:b/>
          <w:lang w:val="el-GR"/>
        </w:rPr>
        <w:t xml:space="preserve">Θέμα </w:t>
      </w:r>
      <w:r w:rsidR="008A6D50">
        <w:rPr>
          <w:b/>
          <w:lang w:val="el-GR"/>
        </w:rPr>
        <w:t>1</w:t>
      </w:r>
      <w:r w:rsidR="00291748">
        <w:rPr>
          <w:lang w:val="el-GR"/>
        </w:rPr>
        <w:t xml:space="preserve"> </w:t>
      </w:r>
    </w:p>
    <w:p w14:paraId="2344657C" w14:textId="4D064DFD" w:rsidR="00CD5A05" w:rsidRPr="00CD5A05" w:rsidRDefault="00CD5A05" w:rsidP="0032571B">
      <w:pPr>
        <w:jc w:val="both"/>
        <w:rPr>
          <w:lang w:val="el-GR"/>
        </w:rPr>
      </w:pPr>
      <w:r>
        <w:rPr>
          <w:lang w:val="el-GR"/>
        </w:rPr>
        <w:t xml:space="preserve">Να </w:t>
      </w:r>
      <w:r w:rsidR="00C00BF2">
        <w:rPr>
          <w:lang w:val="el-GR"/>
        </w:rPr>
        <w:t>εξαχθούν</w:t>
      </w:r>
      <w:r w:rsidR="00830E94">
        <w:rPr>
          <w:lang w:val="el-GR"/>
        </w:rPr>
        <w:t xml:space="preserve"> αναλυτικά</w:t>
      </w:r>
      <w:r w:rsidR="00020362">
        <w:rPr>
          <w:lang w:val="el-GR"/>
        </w:rPr>
        <w:t xml:space="preserve"> και να παρουσιαστούν διαγραμματικά α) η βραχυχρόνια </w:t>
      </w:r>
      <w:r>
        <w:rPr>
          <w:lang w:val="el-GR"/>
        </w:rPr>
        <w:t>καμπύλη προσφοράς</w:t>
      </w:r>
      <w:r w:rsidR="00020362">
        <w:rPr>
          <w:lang w:val="el-GR"/>
        </w:rPr>
        <w:t xml:space="preserve"> της επιχείρησης</w:t>
      </w:r>
      <w:r w:rsidR="00DF0D2E">
        <w:rPr>
          <w:lang w:val="el-GR"/>
        </w:rPr>
        <w:t>,</w:t>
      </w:r>
      <w:r w:rsidR="00020362">
        <w:rPr>
          <w:lang w:val="el-GR"/>
        </w:rPr>
        <w:t xml:space="preserve"> β) η μακροχρόνια καμπύλη προσφοράς της </w:t>
      </w:r>
      <w:r>
        <w:rPr>
          <w:lang w:val="el-GR"/>
        </w:rPr>
        <w:t>επιχείρησης</w:t>
      </w:r>
      <w:r w:rsidR="00DF0D2E">
        <w:rPr>
          <w:lang w:val="el-GR"/>
        </w:rPr>
        <w:t>,</w:t>
      </w:r>
      <w:bookmarkStart w:id="0" w:name="_GoBack"/>
      <w:bookmarkEnd w:id="0"/>
      <w:r>
        <w:rPr>
          <w:lang w:val="el-GR"/>
        </w:rPr>
        <w:t xml:space="preserve"> </w:t>
      </w:r>
      <w:r w:rsidR="00020362">
        <w:rPr>
          <w:lang w:val="el-GR"/>
        </w:rPr>
        <w:t>γ) η</w:t>
      </w:r>
      <w:r w:rsidR="00625206">
        <w:rPr>
          <w:lang w:val="el-GR"/>
        </w:rPr>
        <w:t xml:space="preserve"> καμπύλη</w:t>
      </w:r>
      <w:r w:rsidR="00020362">
        <w:rPr>
          <w:lang w:val="el-GR"/>
        </w:rPr>
        <w:t xml:space="preserve"> προσφορά</w:t>
      </w:r>
      <w:r w:rsidR="00625206">
        <w:rPr>
          <w:lang w:val="el-GR"/>
        </w:rPr>
        <w:t>ς</w:t>
      </w:r>
      <w:r w:rsidR="00020362">
        <w:rPr>
          <w:lang w:val="el-GR"/>
        </w:rPr>
        <w:t xml:space="preserve"> της αγοράς/κλάδου στη</w:t>
      </w:r>
      <w:r w:rsidR="00625206">
        <w:rPr>
          <w:lang w:val="el-GR"/>
        </w:rPr>
        <w:t xml:space="preserve"> βραχυχρόνια και τη</w:t>
      </w:r>
      <w:r w:rsidR="00020362">
        <w:rPr>
          <w:lang w:val="el-GR"/>
        </w:rPr>
        <w:t xml:space="preserve"> μακροχρόνια περίοδο</w:t>
      </w:r>
      <w:r w:rsidR="007B6CB1">
        <w:rPr>
          <w:lang w:val="el-GR"/>
        </w:rPr>
        <w:t>,</w:t>
      </w:r>
      <w:r w:rsidR="00020362">
        <w:rPr>
          <w:lang w:val="el-GR"/>
        </w:rPr>
        <w:t xml:space="preserve"> </w:t>
      </w:r>
      <w:r w:rsidR="003E112F">
        <w:rPr>
          <w:lang w:val="el-GR"/>
        </w:rPr>
        <w:t>στον τέλειο ανταγωνισμό</w:t>
      </w:r>
      <w:r w:rsidR="00F8052E">
        <w:rPr>
          <w:lang w:val="el-GR"/>
        </w:rPr>
        <w:t>.</w:t>
      </w:r>
    </w:p>
    <w:p w14:paraId="193D864C" w14:textId="77777777" w:rsidR="006B2CA8" w:rsidRDefault="006B2CA8" w:rsidP="0032571B">
      <w:pPr>
        <w:jc w:val="both"/>
        <w:rPr>
          <w:lang w:val="el-GR"/>
        </w:rPr>
      </w:pPr>
    </w:p>
    <w:p w14:paraId="37A2ECC5" w14:textId="0862CBE2" w:rsidR="008A6D50" w:rsidRPr="00F8052E" w:rsidRDefault="008A6D50" w:rsidP="008A6D50">
      <w:pPr>
        <w:jc w:val="both"/>
        <w:rPr>
          <w:lang w:val="el-GR"/>
        </w:rPr>
      </w:pPr>
      <w:r w:rsidRPr="006B2CA8">
        <w:rPr>
          <w:b/>
          <w:lang w:val="el-GR"/>
        </w:rPr>
        <w:t xml:space="preserve">Θέμα </w:t>
      </w:r>
      <w:r>
        <w:rPr>
          <w:b/>
          <w:lang w:val="el-GR"/>
        </w:rPr>
        <w:t>2</w:t>
      </w:r>
      <w:r>
        <w:rPr>
          <w:lang w:val="el-GR"/>
        </w:rPr>
        <w:t xml:space="preserve"> </w:t>
      </w:r>
    </w:p>
    <w:p w14:paraId="60459EF0" w14:textId="7A57FFD6" w:rsidR="00D83824" w:rsidRPr="00FD17FE" w:rsidRDefault="00D83824" w:rsidP="00D83824">
      <w:pPr>
        <w:rPr>
          <w:b/>
          <w:lang w:val="el-GR"/>
        </w:rPr>
      </w:pPr>
      <w:r>
        <w:rPr>
          <w:lang w:val="el-GR"/>
        </w:rPr>
        <w:t xml:space="preserve">Συζητείστε και δείξτε διαγραμματικά α) τη βραχυχρόνια ισορροπία μιας τέλεια ανταγωνιστικής επιχείρησης για την οποία είναι προτιμότερο να </w:t>
      </w:r>
      <w:r w:rsidR="00830E94">
        <w:rPr>
          <w:lang w:val="el-GR"/>
        </w:rPr>
        <w:t xml:space="preserve">συνεχίσει τη </w:t>
      </w:r>
      <w:r>
        <w:rPr>
          <w:lang w:val="el-GR"/>
        </w:rPr>
        <w:t>λειτουργία της β) τη βραχυχρόνια ισορροπία ενός μονοπωλίου το οποίο παρουσιάζει ζημιές.</w:t>
      </w:r>
    </w:p>
    <w:p w14:paraId="69EF3706" w14:textId="77777777" w:rsidR="00D83824" w:rsidRDefault="00D83824" w:rsidP="00D83824">
      <w:pPr>
        <w:rPr>
          <w:b/>
          <w:lang w:val="el-GR"/>
        </w:rPr>
      </w:pPr>
    </w:p>
    <w:p w14:paraId="191ED938" w14:textId="26D27123" w:rsidR="00D83824" w:rsidRDefault="008A6D50" w:rsidP="00D83824">
      <w:pPr>
        <w:rPr>
          <w:b/>
          <w:lang w:val="el-GR"/>
        </w:rPr>
      </w:pPr>
      <w:r>
        <w:rPr>
          <w:b/>
          <w:lang w:val="el-GR"/>
        </w:rPr>
        <w:t>Θέμα 3</w:t>
      </w:r>
    </w:p>
    <w:p w14:paraId="799BC6BC" w14:textId="75E960BE" w:rsidR="00D83824" w:rsidRDefault="00D83824" w:rsidP="008A6D50">
      <w:pPr>
        <w:rPr>
          <w:lang w:val="el-GR"/>
        </w:rPr>
      </w:pPr>
      <w:r w:rsidRPr="004B15CA">
        <w:rPr>
          <w:lang w:val="el-GR"/>
        </w:rPr>
        <w:t>Να δοθούν οι ορισμοί των παρακάτω:</w:t>
      </w:r>
      <w:r>
        <w:rPr>
          <w:lang w:val="el-GR"/>
        </w:rPr>
        <w:t xml:space="preserve"> Δημόσια Αποταμίευση, </w:t>
      </w:r>
      <w:r w:rsidRPr="004B15CA">
        <w:rPr>
          <w:lang w:val="el-GR"/>
        </w:rPr>
        <w:t xml:space="preserve">Ακαθάριστο Εγχώριο Προϊόν, </w:t>
      </w:r>
      <w:r>
        <w:rPr>
          <w:lang w:val="el-GR"/>
        </w:rPr>
        <w:t xml:space="preserve">Επένδυση, Μεταβιβαστικές Πληρωμές,  </w:t>
      </w:r>
      <w:r w:rsidRPr="004B15CA">
        <w:rPr>
          <w:lang w:val="el-GR"/>
        </w:rPr>
        <w:t>Ακαθάριστο Εθνικό Προϊόν, Καθαρό Εθνικό Προϊόν, Προσωπικό Εισόδημα, Διαθέσιμο Προσωπικό Εισόδημα, εκτόπιση επενδύσεων (</w:t>
      </w:r>
      <w:r w:rsidRPr="004B15CA">
        <w:t>crowding</w:t>
      </w:r>
      <w:r w:rsidRPr="004B15CA">
        <w:rPr>
          <w:lang w:val="el-GR"/>
        </w:rPr>
        <w:t xml:space="preserve"> </w:t>
      </w:r>
      <w:r w:rsidRPr="004B15CA">
        <w:t>out</w:t>
      </w:r>
      <w:r w:rsidRPr="004B15CA">
        <w:rPr>
          <w:lang w:val="el-GR"/>
        </w:rPr>
        <w:t>)</w:t>
      </w:r>
      <w:r>
        <w:rPr>
          <w:lang w:val="el-GR"/>
        </w:rPr>
        <w:t xml:space="preserve">, ρυθμός πληθωρισμού, πραγματικό επιτόκιο, </w:t>
      </w:r>
      <w:r w:rsidR="008A6D50">
        <w:rPr>
          <w:lang w:val="el-GR"/>
        </w:rPr>
        <w:t>Προσωπική Κατανάλωση, Δημόσια Κατανάλωση, μισθοί αποδοτικότητας.</w:t>
      </w:r>
    </w:p>
    <w:p w14:paraId="4CB6B7C0" w14:textId="77777777" w:rsidR="00DF0D2E" w:rsidRDefault="00DF0D2E" w:rsidP="008A6D50">
      <w:pPr>
        <w:rPr>
          <w:lang w:val="el-GR"/>
        </w:rPr>
      </w:pPr>
    </w:p>
    <w:p w14:paraId="4EB23871" w14:textId="7F232608" w:rsidR="00DF0D2E" w:rsidRPr="006B2CA8" w:rsidRDefault="00DF0D2E" w:rsidP="00DF0D2E">
      <w:pPr>
        <w:jc w:val="both"/>
        <w:rPr>
          <w:lang w:val="el-GR"/>
        </w:rPr>
      </w:pPr>
      <w:r w:rsidRPr="006B2CA8">
        <w:rPr>
          <w:b/>
          <w:lang w:val="el-GR"/>
        </w:rPr>
        <w:t xml:space="preserve">Θέμα </w:t>
      </w:r>
      <w:r>
        <w:rPr>
          <w:b/>
          <w:lang w:val="el-GR"/>
        </w:rPr>
        <w:t>4</w:t>
      </w:r>
      <w:r w:rsidRPr="006B2CA8">
        <w:rPr>
          <w:lang w:val="el-GR"/>
        </w:rPr>
        <w:t xml:space="preserve"> </w:t>
      </w:r>
    </w:p>
    <w:p w14:paraId="262C3546" w14:textId="77777777" w:rsidR="00DF0D2E" w:rsidRPr="0032571B" w:rsidRDefault="00DF0D2E" w:rsidP="00DF0D2E">
      <w:pPr>
        <w:jc w:val="both"/>
        <w:rPr>
          <w:lang w:val="el-GR"/>
        </w:rPr>
      </w:pPr>
      <w:r>
        <w:rPr>
          <w:lang w:val="el-GR"/>
        </w:rPr>
        <w:t xml:space="preserve">Σε μια κλειστή οικονομία με τρία αγαθά (το 1 και το 2 είναι καταναλωτικά, το 3 κεφαλαιουχικό) να συμπληρωθεί ο πίνακας και να υπολογισθεί ο ρυθμός πληθωρισμού που δίνει α) ο </w:t>
      </w:r>
      <w:proofErr w:type="spellStart"/>
      <w:r>
        <w:rPr>
          <w:lang w:val="el-GR"/>
        </w:rPr>
        <w:t>αποπληθωριστής</w:t>
      </w:r>
      <w:proofErr w:type="spellEnd"/>
      <w:r>
        <w:rPr>
          <w:lang w:val="el-GR"/>
        </w:rPr>
        <w:t xml:space="preserve"> ΑΕΠ β) ο Δείκτης Τιμών Καταναλωτή για τα έτη 2, 3 και 4 με έτος βάσης το έτος 1.</w:t>
      </w:r>
    </w:p>
    <w:p w14:paraId="09047954" w14:textId="77777777" w:rsidR="00DF0D2E" w:rsidRDefault="00DF0D2E" w:rsidP="00DF0D2E">
      <w:pPr>
        <w:jc w:val="both"/>
        <w:rPr>
          <w:lang w:val="el-GR"/>
        </w:rPr>
      </w:pPr>
    </w:p>
    <w:tbl>
      <w:tblPr>
        <w:tblStyle w:val="a5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567"/>
        <w:gridCol w:w="567"/>
        <w:gridCol w:w="567"/>
        <w:gridCol w:w="567"/>
        <w:gridCol w:w="993"/>
        <w:gridCol w:w="850"/>
        <w:gridCol w:w="1134"/>
        <w:gridCol w:w="1701"/>
        <w:gridCol w:w="1276"/>
      </w:tblGrid>
      <w:tr w:rsidR="00DF0D2E" w14:paraId="57FCD5D3" w14:textId="77777777" w:rsidTr="009863C2">
        <w:tc>
          <w:tcPr>
            <w:tcW w:w="709" w:type="dxa"/>
          </w:tcPr>
          <w:p w14:paraId="0BAF3627" w14:textId="77777777" w:rsidR="00DF0D2E" w:rsidRPr="00785C5D" w:rsidRDefault="00DF0D2E" w:rsidP="009863C2">
            <w:pPr>
              <w:jc w:val="center"/>
              <w:rPr>
                <w:sz w:val="20"/>
                <w:szCs w:val="20"/>
                <w:lang w:val="el-GR"/>
              </w:rPr>
            </w:pPr>
            <w:r w:rsidRPr="00785C5D">
              <w:rPr>
                <w:sz w:val="20"/>
                <w:szCs w:val="20"/>
                <w:lang w:val="el-GR"/>
              </w:rPr>
              <w:t>Έτος</w:t>
            </w:r>
          </w:p>
        </w:tc>
        <w:tc>
          <w:tcPr>
            <w:tcW w:w="567" w:type="dxa"/>
          </w:tcPr>
          <w:p w14:paraId="5BBD3734" w14:textId="77777777" w:rsidR="00DF0D2E" w:rsidRPr="00785C5D" w:rsidRDefault="00DF0D2E" w:rsidP="009863C2">
            <w:pPr>
              <w:jc w:val="center"/>
              <w:rPr>
                <w:sz w:val="20"/>
                <w:szCs w:val="20"/>
              </w:rPr>
            </w:pPr>
            <w:r w:rsidRPr="00785C5D">
              <w:rPr>
                <w:sz w:val="20"/>
                <w:szCs w:val="20"/>
              </w:rPr>
              <w:t>Q</w:t>
            </w:r>
            <w:r w:rsidRPr="00B57EC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67" w:type="dxa"/>
          </w:tcPr>
          <w:p w14:paraId="04FBB936" w14:textId="77777777" w:rsidR="00DF0D2E" w:rsidRPr="00785C5D" w:rsidRDefault="00DF0D2E" w:rsidP="009863C2">
            <w:pPr>
              <w:jc w:val="center"/>
              <w:rPr>
                <w:sz w:val="20"/>
                <w:szCs w:val="20"/>
              </w:rPr>
            </w:pPr>
            <w:r w:rsidRPr="00785C5D">
              <w:rPr>
                <w:sz w:val="20"/>
                <w:szCs w:val="20"/>
              </w:rPr>
              <w:t>P</w:t>
            </w:r>
            <w:r w:rsidRPr="00B57EC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67" w:type="dxa"/>
          </w:tcPr>
          <w:p w14:paraId="47FCEEA2" w14:textId="77777777" w:rsidR="00DF0D2E" w:rsidRPr="00785C5D" w:rsidRDefault="00DF0D2E" w:rsidP="009863C2">
            <w:pPr>
              <w:jc w:val="center"/>
              <w:rPr>
                <w:sz w:val="20"/>
                <w:szCs w:val="20"/>
              </w:rPr>
            </w:pPr>
            <w:r w:rsidRPr="00785C5D">
              <w:rPr>
                <w:sz w:val="20"/>
                <w:szCs w:val="20"/>
              </w:rPr>
              <w:t>Q</w:t>
            </w:r>
            <w:r w:rsidRPr="00B57EC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67" w:type="dxa"/>
          </w:tcPr>
          <w:p w14:paraId="4D5BA886" w14:textId="77777777" w:rsidR="00DF0D2E" w:rsidRPr="00785C5D" w:rsidRDefault="00DF0D2E" w:rsidP="009863C2">
            <w:pPr>
              <w:jc w:val="center"/>
              <w:rPr>
                <w:sz w:val="20"/>
                <w:szCs w:val="20"/>
              </w:rPr>
            </w:pPr>
            <w:r w:rsidRPr="00785C5D">
              <w:rPr>
                <w:sz w:val="20"/>
                <w:szCs w:val="20"/>
              </w:rPr>
              <w:t>P</w:t>
            </w:r>
            <w:r w:rsidRPr="00B57EC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67" w:type="dxa"/>
          </w:tcPr>
          <w:p w14:paraId="505CF731" w14:textId="77777777" w:rsidR="00DF0D2E" w:rsidRPr="00785C5D" w:rsidRDefault="00DF0D2E" w:rsidP="009863C2">
            <w:pPr>
              <w:jc w:val="center"/>
              <w:rPr>
                <w:sz w:val="20"/>
                <w:szCs w:val="20"/>
              </w:rPr>
            </w:pPr>
            <w:r w:rsidRPr="00785C5D">
              <w:rPr>
                <w:sz w:val="20"/>
                <w:szCs w:val="20"/>
              </w:rPr>
              <w:t>Q</w:t>
            </w:r>
            <w:r w:rsidRPr="00B57EC6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67" w:type="dxa"/>
          </w:tcPr>
          <w:p w14:paraId="1983FCD4" w14:textId="77777777" w:rsidR="00DF0D2E" w:rsidRPr="00785C5D" w:rsidRDefault="00DF0D2E" w:rsidP="009863C2">
            <w:pPr>
              <w:jc w:val="center"/>
              <w:rPr>
                <w:sz w:val="20"/>
                <w:szCs w:val="20"/>
              </w:rPr>
            </w:pPr>
            <w:r w:rsidRPr="00785C5D">
              <w:rPr>
                <w:sz w:val="20"/>
                <w:szCs w:val="20"/>
              </w:rPr>
              <w:t>P</w:t>
            </w:r>
            <w:r w:rsidRPr="00B57EC6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93" w:type="dxa"/>
          </w:tcPr>
          <w:p w14:paraId="77870550" w14:textId="77777777" w:rsidR="00DF0D2E" w:rsidRPr="00785C5D" w:rsidRDefault="00DF0D2E" w:rsidP="009863C2">
            <w:pPr>
              <w:jc w:val="center"/>
              <w:rPr>
                <w:sz w:val="20"/>
                <w:szCs w:val="20"/>
                <w:lang w:val="el-GR"/>
              </w:rPr>
            </w:pPr>
            <w:r w:rsidRPr="00785C5D">
              <w:rPr>
                <w:sz w:val="20"/>
                <w:szCs w:val="20"/>
                <w:lang w:val="el-GR"/>
              </w:rPr>
              <w:t>Ονομαστικό ΑΕΠ</w:t>
            </w:r>
          </w:p>
        </w:tc>
        <w:tc>
          <w:tcPr>
            <w:tcW w:w="850" w:type="dxa"/>
          </w:tcPr>
          <w:p w14:paraId="11E3C607" w14:textId="77777777" w:rsidR="00DF0D2E" w:rsidRPr="00785C5D" w:rsidRDefault="00DF0D2E" w:rsidP="009863C2">
            <w:pPr>
              <w:jc w:val="center"/>
              <w:rPr>
                <w:sz w:val="20"/>
                <w:szCs w:val="20"/>
                <w:lang w:val="el-GR"/>
              </w:rPr>
            </w:pPr>
            <w:r w:rsidRPr="00785C5D">
              <w:rPr>
                <w:sz w:val="20"/>
                <w:szCs w:val="20"/>
                <w:lang w:val="el-GR"/>
              </w:rPr>
              <w:t>Πραγματικό ΑΕΠ</w:t>
            </w:r>
          </w:p>
        </w:tc>
        <w:tc>
          <w:tcPr>
            <w:tcW w:w="1134" w:type="dxa"/>
          </w:tcPr>
          <w:p w14:paraId="6A30A6AC" w14:textId="77777777" w:rsidR="00DF0D2E" w:rsidRPr="00785C5D" w:rsidRDefault="00DF0D2E" w:rsidP="009863C2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785C5D">
              <w:rPr>
                <w:sz w:val="20"/>
                <w:szCs w:val="20"/>
                <w:lang w:val="el-GR"/>
              </w:rPr>
              <w:t>Αποπληθωριστής</w:t>
            </w:r>
            <w:proofErr w:type="spellEnd"/>
            <w:r w:rsidRPr="00785C5D">
              <w:rPr>
                <w:sz w:val="20"/>
                <w:szCs w:val="20"/>
                <w:lang w:val="el-GR"/>
              </w:rPr>
              <w:t xml:space="preserve"> ΑΕΠ</w:t>
            </w:r>
          </w:p>
        </w:tc>
        <w:tc>
          <w:tcPr>
            <w:tcW w:w="1701" w:type="dxa"/>
          </w:tcPr>
          <w:p w14:paraId="67771429" w14:textId="77777777" w:rsidR="00DF0D2E" w:rsidRPr="00785C5D" w:rsidRDefault="00DF0D2E" w:rsidP="009863C2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Κόστος καλαθιού καταναλωτικών αγαθών</w:t>
            </w:r>
          </w:p>
        </w:tc>
        <w:tc>
          <w:tcPr>
            <w:tcW w:w="1276" w:type="dxa"/>
          </w:tcPr>
          <w:p w14:paraId="5E4D5683" w14:textId="77777777" w:rsidR="00DF0D2E" w:rsidRPr="00785C5D" w:rsidRDefault="00DF0D2E" w:rsidP="009863C2">
            <w:pPr>
              <w:jc w:val="center"/>
              <w:rPr>
                <w:sz w:val="20"/>
                <w:szCs w:val="20"/>
                <w:lang w:val="el-GR"/>
              </w:rPr>
            </w:pPr>
            <w:r w:rsidRPr="00785C5D">
              <w:rPr>
                <w:sz w:val="20"/>
                <w:szCs w:val="20"/>
                <w:lang w:val="el-GR"/>
              </w:rPr>
              <w:t>Δείκτης Τιμών Καταναλωτή</w:t>
            </w:r>
          </w:p>
        </w:tc>
      </w:tr>
      <w:tr w:rsidR="00DF0D2E" w14:paraId="67AA810D" w14:textId="77777777" w:rsidTr="009863C2">
        <w:tc>
          <w:tcPr>
            <w:tcW w:w="709" w:type="dxa"/>
          </w:tcPr>
          <w:p w14:paraId="19A3F19F" w14:textId="77777777" w:rsidR="00DF0D2E" w:rsidRPr="00785C5D" w:rsidRDefault="00DF0D2E" w:rsidP="009863C2">
            <w:pPr>
              <w:jc w:val="center"/>
              <w:rPr>
                <w:sz w:val="20"/>
                <w:szCs w:val="20"/>
                <w:lang w:val="el-GR"/>
              </w:rPr>
            </w:pPr>
            <w:r w:rsidRPr="00785C5D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567" w:type="dxa"/>
          </w:tcPr>
          <w:p w14:paraId="41791ECD" w14:textId="77777777" w:rsidR="00DF0D2E" w:rsidRPr="00785C5D" w:rsidRDefault="00DF0D2E" w:rsidP="009863C2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567" w:type="dxa"/>
          </w:tcPr>
          <w:p w14:paraId="5E9F8798" w14:textId="77777777" w:rsidR="00DF0D2E" w:rsidRPr="00785C5D" w:rsidRDefault="00DF0D2E" w:rsidP="009863C2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567" w:type="dxa"/>
          </w:tcPr>
          <w:p w14:paraId="2921CC5B" w14:textId="77777777" w:rsidR="00DF0D2E" w:rsidRPr="00785C5D" w:rsidRDefault="00DF0D2E" w:rsidP="009863C2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567" w:type="dxa"/>
          </w:tcPr>
          <w:p w14:paraId="10A97563" w14:textId="77777777" w:rsidR="00DF0D2E" w:rsidRPr="00785C5D" w:rsidRDefault="00DF0D2E" w:rsidP="009863C2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567" w:type="dxa"/>
          </w:tcPr>
          <w:p w14:paraId="5008FE87" w14:textId="77777777" w:rsidR="00DF0D2E" w:rsidRPr="00785C5D" w:rsidRDefault="00DF0D2E" w:rsidP="009863C2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567" w:type="dxa"/>
          </w:tcPr>
          <w:p w14:paraId="0419574A" w14:textId="77777777" w:rsidR="00DF0D2E" w:rsidRPr="00785C5D" w:rsidRDefault="00DF0D2E" w:rsidP="009863C2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993" w:type="dxa"/>
          </w:tcPr>
          <w:p w14:paraId="5B3667FB" w14:textId="77777777" w:rsidR="00DF0D2E" w:rsidRPr="00441B29" w:rsidRDefault="00DF0D2E" w:rsidP="009863C2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850" w:type="dxa"/>
          </w:tcPr>
          <w:p w14:paraId="513FE791" w14:textId="77777777" w:rsidR="00DF0D2E" w:rsidRPr="00441B29" w:rsidRDefault="00DF0D2E" w:rsidP="009863C2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</w:tcPr>
          <w:p w14:paraId="1BA38849" w14:textId="77777777" w:rsidR="00DF0D2E" w:rsidRPr="00441B29" w:rsidRDefault="00DF0D2E" w:rsidP="009863C2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701" w:type="dxa"/>
          </w:tcPr>
          <w:p w14:paraId="6BB00D7E" w14:textId="77777777" w:rsidR="00DF0D2E" w:rsidRPr="00441B29" w:rsidRDefault="00DF0D2E" w:rsidP="009863C2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</w:tcPr>
          <w:p w14:paraId="5C0284B8" w14:textId="77777777" w:rsidR="00DF0D2E" w:rsidRPr="00441B29" w:rsidRDefault="00DF0D2E" w:rsidP="009863C2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</w:tr>
      <w:tr w:rsidR="00DF0D2E" w14:paraId="2490D025" w14:textId="77777777" w:rsidTr="009863C2">
        <w:tc>
          <w:tcPr>
            <w:tcW w:w="709" w:type="dxa"/>
          </w:tcPr>
          <w:p w14:paraId="1325B361" w14:textId="77777777" w:rsidR="00DF0D2E" w:rsidRPr="00785C5D" w:rsidRDefault="00DF0D2E" w:rsidP="009863C2">
            <w:pPr>
              <w:jc w:val="center"/>
              <w:rPr>
                <w:sz w:val="20"/>
                <w:szCs w:val="20"/>
                <w:lang w:val="el-GR"/>
              </w:rPr>
            </w:pPr>
            <w:r w:rsidRPr="00785C5D"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567" w:type="dxa"/>
          </w:tcPr>
          <w:p w14:paraId="285F5A0B" w14:textId="77777777" w:rsidR="00DF0D2E" w:rsidRPr="00785C5D" w:rsidRDefault="00DF0D2E" w:rsidP="009863C2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567" w:type="dxa"/>
          </w:tcPr>
          <w:p w14:paraId="6D0E2E9C" w14:textId="77777777" w:rsidR="00DF0D2E" w:rsidRPr="00785C5D" w:rsidRDefault="00DF0D2E" w:rsidP="009863C2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567" w:type="dxa"/>
          </w:tcPr>
          <w:p w14:paraId="541F15F9" w14:textId="77777777" w:rsidR="00DF0D2E" w:rsidRPr="00785C5D" w:rsidRDefault="00DF0D2E" w:rsidP="009863C2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567" w:type="dxa"/>
          </w:tcPr>
          <w:p w14:paraId="479AE2AC" w14:textId="77777777" w:rsidR="00DF0D2E" w:rsidRPr="00785C5D" w:rsidRDefault="00DF0D2E" w:rsidP="009863C2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567" w:type="dxa"/>
          </w:tcPr>
          <w:p w14:paraId="1BF6CBEF" w14:textId="77777777" w:rsidR="00DF0D2E" w:rsidRPr="00785C5D" w:rsidRDefault="00DF0D2E" w:rsidP="009863C2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567" w:type="dxa"/>
          </w:tcPr>
          <w:p w14:paraId="65FA556E" w14:textId="77777777" w:rsidR="00DF0D2E" w:rsidRPr="00785C5D" w:rsidRDefault="00DF0D2E" w:rsidP="009863C2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993" w:type="dxa"/>
          </w:tcPr>
          <w:p w14:paraId="4FAC5359" w14:textId="77777777" w:rsidR="00DF0D2E" w:rsidRPr="00441B29" w:rsidRDefault="00DF0D2E" w:rsidP="009863C2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850" w:type="dxa"/>
          </w:tcPr>
          <w:p w14:paraId="210656E0" w14:textId="77777777" w:rsidR="00DF0D2E" w:rsidRPr="00441B29" w:rsidRDefault="00DF0D2E" w:rsidP="009863C2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</w:tcPr>
          <w:p w14:paraId="0B3F852D" w14:textId="77777777" w:rsidR="00DF0D2E" w:rsidRPr="00441B29" w:rsidRDefault="00DF0D2E" w:rsidP="009863C2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701" w:type="dxa"/>
          </w:tcPr>
          <w:p w14:paraId="1EE4D2DC" w14:textId="77777777" w:rsidR="00DF0D2E" w:rsidRPr="00441B29" w:rsidRDefault="00DF0D2E" w:rsidP="009863C2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</w:tcPr>
          <w:p w14:paraId="4B7A0EA6" w14:textId="77777777" w:rsidR="00DF0D2E" w:rsidRPr="00441B29" w:rsidRDefault="00DF0D2E" w:rsidP="009863C2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</w:tr>
      <w:tr w:rsidR="00DF0D2E" w14:paraId="1FD0D55F" w14:textId="77777777" w:rsidTr="009863C2">
        <w:tc>
          <w:tcPr>
            <w:tcW w:w="709" w:type="dxa"/>
          </w:tcPr>
          <w:p w14:paraId="628DED1D" w14:textId="77777777" w:rsidR="00DF0D2E" w:rsidRPr="00785C5D" w:rsidRDefault="00DF0D2E" w:rsidP="009863C2">
            <w:pPr>
              <w:jc w:val="center"/>
              <w:rPr>
                <w:sz w:val="20"/>
                <w:szCs w:val="20"/>
                <w:lang w:val="el-GR"/>
              </w:rPr>
            </w:pPr>
            <w:r w:rsidRPr="00785C5D"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567" w:type="dxa"/>
          </w:tcPr>
          <w:p w14:paraId="79CE4AEC" w14:textId="77777777" w:rsidR="00DF0D2E" w:rsidRPr="00785C5D" w:rsidRDefault="00DF0D2E" w:rsidP="009863C2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6</w:t>
            </w:r>
          </w:p>
        </w:tc>
        <w:tc>
          <w:tcPr>
            <w:tcW w:w="567" w:type="dxa"/>
          </w:tcPr>
          <w:p w14:paraId="7A1D3452" w14:textId="77777777" w:rsidR="00DF0D2E" w:rsidRPr="00785C5D" w:rsidRDefault="00DF0D2E" w:rsidP="009863C2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2.5</w:t>
            </w:r>
          </w:p>
        </w:tc>
        <w:tc>
          <w:tcPr>
            <w:tcW w:w="567" w:type="dxa"/>
          </w:tcPr>
          <w:p w14:paraId="4D6D1FE8" w14:textId="77777777" w:rsidR="00DF0D2E" w:rsidRPr="00785C5D" w:rsidRDefault="00DF0D2E" w:rsidP="009863C2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567" w:type="dxa"/>
          </w:tcPr>
          <w:p w14:paraId="6E6DD355" w14:textId="77777777" w:rsidR="00DF0D2E" w:rsidRPr="00785C5D" w:rsidRDefault="00DF0D2E" w:rsidP="009863C2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567" w:type="dxa"/>
          </w:tcPr>
          <w:p w14:paraId="06514BBC" w14:textId="77777777" w:rsidR="00DF0D2E" w:rsidRPr="00785C5D" w:rsidRDefault="00DF0D2E" w:rsidP="009863C2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567" w:type="dxa"/>
          </w:tcPr>
          <w:p w14:paraId="77D3157A" w14:textId="77777777" w:rsidR="00DF0D2E" w:rsidRPr="00785C5D" w:rsidRDefault="00DF0D2E" w:rsidP="009863C2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993" w:type="dxa"/>
          </w:tcPr>
          <w:p w14:paraId="77EBF3A3" w14:textId="77777777" w:rsidR="00DF0D2E" w:rsidRPr="00441B29" w:rsidRDefault="00DF0D2E" w:rsidP="009863C2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850" w:type="dxa"/>
          </w:tcPr>
          <w:p w14:paraId="31EE9A0B" w14:textId="77777777" w:rsidR="00DF0D2E" w:rsidRPr="00441B29" w:rsidRDefault="00DF0D2E" w:rsidP="009863C2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</w:tcPr>
          <w:p w14:paraId="29986C24" w14:textId="77777777" w:rsidR="00DF0D2E" w:rsidRPr="00441B29" w:rsidRDefault="00DF0D2E" w:rsidP="009863C2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701" w:type="dxa"/>
          </w:tcPr>
          <w:p w14:paraId="57797A3E" w14:textId="77777777" w:rsidR="00DF0D2E" w:rsidRPr="00441B29" w:rsidRDefault="00DF0D2E" w:rsidP="009863C2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</w:tcPr>
          <w:p w14:paraId="6A537C34" w14:textId="77777777" w:rsidR="00DF0D2E" w:rsidRPr="00441B29" w:rsidRDefault="00DF0D2E" w:rsidP="009863C2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</w:tr>
      <w:tr w:rsidR="00DF0D2E" w14:paraId="3AB8A558" w14:textId="77777777" w:rsidTr="009863C2">
        <w:tc>
          <w:tcPr>
            <w:tcW w:w="709" w:type="dxa"/>
          </w:tcPr>
          <w:p w14:paraId="2996685E" w14:textId="77777777" w:rsidR="00DF0D2E" w:rsidRPr="00785C5D" w:rsidRDefault="00DF0D2E" w:rsidP="009863C2">
            <w:pPr>
              <w:jc w:val="center"/>
              <w:rPr>
                <w:sz w:val="20"/>
                <w:szCs w:val="20"/>
                <w:lang w:val="el-GR"/>
              </w:rPr>
            </w:pPr>
            <w:r w:rsidRPr="00785C5D"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567" w:type="dxa"/>
          </w:tcPr>
          <w:p w14:paraId="0A2EA33C" w14:textId="77777777" w:rsidR="00DF0D2E" w:rsidRPr="00785C5D" w:rsidRDefault="00DF0D2E" w:rsidP="009863C2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567" w:type="dxa"/>
          </w:tcPr>
          <w:p w14:paraId="3A38FA68" w14:textId="77777777" w:rsidR="00DF0D2E" w:rsidRPr="00785C5D" w:rsidRDefault="00DF0D2E" w:rsidP="009863C2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567" w:type="dxa"/>
          </w:tcPr>
          <w:p w14:paraId="36EB37CE" w14:textId="77777777" w:rsidR="00DF0D2E" w:rsidRPr="00785C5D" w:rsidRDefault="00DF0D2E" w:rsidP="009863C2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567" w:type="dxa"/>
          </w:tcPr>
          <w:p w14:paraId="78C8B35F" w14:textId="77777777" w:rsidR="00DF0D2E" w:rsidRPr="00785C5D" w:rsidRDefault="00DF0D2E" w:rsidP="009863C2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567" w:type="dxa"/>
          </w:tcPr>
          <w:p w14:paraId="46964609" w14:textId="77777777" w:rsidR="00DF0D2E" w:rsidRPr="00785C5D" w:rsidRDefault="00DF0D2E" w:rsidP="009863C2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567" w:type="dxa"/>
          </w:tcPr>
          <w:p w14:paraId="0E09B14C" w14:textId="77777777" w:rsidR="00DF0D2E" w:rsidRPr="00785C5D" w:rsidRDefault="00DF0D2E" w:rsidP="009863C2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993" w:type="dxa"/>
          </w:tcPr>
          <w:p w14:paraId="24E364E9" w14:textId="77777777" w:rsidR="00DF0D2E" w:rsidRPr="00441B29" w:rsidRDefault="00DF0D2E" w:rsidP="009863C2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850" w:type="dxa"/>
          </w:tcPr>
          <w:p w14:paraId="42A3103E" w14:textId="77777777" w:rsidR="00DF0D2E" w:rsidRPr="00441B29" w:rsidRDefault="00DF0D2E" w:rsidP="009863C2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</w:tcPr>
          <w:p w14:paraId="04B2ECF3" w14:textId="77777777" w:rsidR="00DF0D2E" w:rsidRPr="00441B29" w:rsidRDefault="00DF0D2E" w:rsidP="009863C2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701" w:type="dxa"/>
          </w:tcPr>
          <w:p w14:paraId="5F38D242" w14:textId="77777777" w:rsidR="00DF0D2E" w:rsidRPr="00441B29" w:rsidRDefault="00DF0D2E" w:rsidP="009863C2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</w:tcPr>
          <w:p w14:paraId="21E71FB8" w14:textId="77777777" w:rsidR="00DF0D2E" w:rsidRPr="00441B29" w:rsidRDefault="00DF0D2E" w:rsidP="009863C2">
            <w:pPr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</w:tr>
    </w:tbl>
    <w:p w14:paraId="58ABF018" w14:textId="77777777" w:rsidR="00DF0D2E" w:rsidRDefault="00DF0D2E" w:rsidP="00DF0D2E">
      <w:pPr>
        <w:jc w:val="both"/>
        <w:rPr>
          <w:lang w:val="el-GR"/>
        </w:rPr>
      </w:pPr>
    </w:p>
    <w:p w14:paraId="18B40F0E" w14:textId="77777777" w:rsidR="00DF0D2E" w:rsidRDefault="00DF0D2E" w:rsidP="008A6D50">
      <w:pPr>
        <w:rPr>
          <w:lang w:val="el-GR"/>
        </w:rPr>
      </w:pPr>
    </w:p>
    <w:p w14:paraId="1D9B62B1" w14:textId="77777777" w:rsidR="00D83824" w:rsidRDefault="00D83824" w:rsidP="0032571B">
      <w:pPr>
        <w:jc w:val="both"/>
        <w:rPr>
          <w:b/>
          <w:lang w:val="el-GR"/>
        </w:rPr>
      </w:pPr>
    </w:p>
    <w:p w14:paraId="6D25DABE" w14:textId="77777777" w:rsidR="00D83824" w:rsidRDefault="00D83824" w:rsidP="0032571B">
      <w:pPr>
        <w:jc w:val="both"/>
        <w:rPr>
          <w:b/>
          <w:lang w:val="el-GR"/>
        </w:rPr>
      </w:pPr>
    </w:p>
    <w:sectPr w:rsidR="00D83824" w:rsidSect="00B87D64">
      <w:pgSz w:w="12240" w:h="15840"/>
      <w:pgMar w:top="1418" w:right="1440" w:bottom="36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C1F9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7F"/>
    <w:rsid w:val="0000551F"/>
    <w:rsid w:val="00020362"/>
    <w:rsid w:val="00040DDD"/>
    <w:rsid w:val="00070F9A"/>
    <w:rsid w:val="00107839"/>
    <w:rsid w:val="001519C5"/>
    <w:rsid w:val="00181790"/>
    <w:rsid w:val="00185D5C"/>
    <w:rsid w:val="001D1C17"/>
    <w:rsid w:val="001F6CD3"/>
    <w:rsid w:val="0020008C"/>
    <w:rsid w:val="00233247"/>
    <w:rsid w:val="00281702"/>
    <w:rsid w:val="00291748"/>
    <w:rsid w:val="002D1CC0"/>
    <w:rsid w:val="002F06AB"/>
    <w:rsid w:val="003254FC"/>
    <w:rsid w:val="0032571B"/>
    <w:rsid w:val="003A7DBE"/>
    <w:rsid w:val="003D1074"/>
    <w:rsid w:val="003E112F"/>
    <w:rsid w:val="003E4563"/>
    <w:rsid w:val="003E5BA3"/>
    <w:rsid w:val="003F1A57"/>
    <w:rsid w:val="0040755C"/>
    <w:rsid w:val="00441B29"/>
    <w:rsid w:val="00442AD2"/>
    <w:rsid w:val="00445FDF"/>
    <w:rsid w:val="00450460"/>
    <w:rsid w:val="0046348C"/>
    <w:rsid w:val="00477971"/>
    <w:rsid w:val="004F11FB"/>
    <w:rsid w:val="00517EB1"/>
    <w:rsid w:val="00535C23"/>
    <w:rsid w:val="00541CDA"/>
    <w:rsid w:val="00566F1F"/>
    <w:rsid w:val="0057433C"/>
    <w:rsid w:val="005A007F"/>
    <w:rsid w:val="00625206"/>
    <w:rsid w:val="006669BD"/>
    <w:rsid w:val="00674B94"/>
    <w:rsid w:val="006B2CA8"/>
    <w:rsid w:val="007343A2"/>
    <w:rsid w:val="0073723D"/>
    <w:rsid w:val="00766973"/>
    <w:rsid w:val="00785C5D"/>
    <w:rsid w:val="0079187E"/>
    <w:rsid w:val="007B6CB1"/>
    <w:rsid w:val="007E24CC"/>
    <w:rsid w:val="007E4A07"/>
    <w:rsid w:val="00830E94"/>
    <w:rsid w:val="00837DD9"/>
    <w:rsid w:val="008A6D50"/>
    <w:rsid w:val="00901AE7"/>
    <w:rsid w:val="00915A84"/>
    <w:rsid w:val="009672F1"/>
    <w:rsid w:val="00977B7B"/>
    <w:rsid w:val="009938B1"/>
    <w:rsid w:val="009A5447"/>
    <w:rsid w:val="009C3BEE"/>
    <w:rsid w:val="00A808F6"/>
    <w:rsid w:val="00A8506A"/>
    <w:rsid w:val="00B003FC"/>
    <w:rsid w:val="00B05F98"/>
    <w:rsid w:val="00B35C63"/>
    <w:rsid w:val="00B4261B"/>
    <w:rsid w:val="00B4796E"/>
    <w:rsid w:val="00B57EC6"/>
    <w:rsid w:val="00B87D64"/>
    <w:rsid w:val="00B9411C"/>
    <w:rsid w:val="00BE7418"/>
    <w:rsid w:val="00BF741E"/>
    <w:rsid w:val="00C00BF2"/>
    <w:rsid w:val="00C10397"/>
    <w:rsid w:val="00C62AF7"/>
    <w:rsid w:val="00C815CF"/>
    <w:rsid w:val="00CD0B7A"/>
    <w:rsid w:val="00CD5A05"/>
    <w:rsid w:val="00D83824"/>
    <w:rsid w:val="00DE2F6B"/>
    <w:rsid w:val="00DE7CB4"/>
    <w:rsid w:val="00DF0D2E"/>
    <w:rsid w:val="00E26CEE"/>
    <w:rsid w:val="00E33786"/>
    <w:rsid w:val="00E574C6"/>
    <w:rsid w:val="00EB2848"/>
    <w:rsid w:val="00EB5B83"/>
    <w:rsid w:val="00ED0528"/>
    <w:rsid w:val="00F0219B"/>
    <w:rsid w:val="00F41A7A"/>
    <w:rsid w:val="00F41BAA"/>
    <w:rsid w:val="00F8052E"/>
    <w:rsid w:val="00F93664"/>
    <w:rsid w:val="00F94114"/>
    <w:rsid w:val="00FC0045"/>
    <w:rsid w:val="00FE27BA"/>
    <w:rsid w:val="00FE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C8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">
    <w:name w:val="Body Text 2"/>
    <w:basedOn w:val="a"/>
    <w:pPr>
      <w:jc w:val="both"/>
    </w:pPr>
    <w:rPr>
      <w:sz w:val="22"/>
      <w:lang w:val="el-GR"/>
    </w:rPr>
  </w:style>
  <w:style w:type="paragraph" w:customStyle="1" w:styleId="MTDisplayEquation">
    <w:name w:val="MTDisplayEquation"/>
    <w:basedOn w:val="a"/>
    <w:next w:val="a"/>
    <w:rsid w:val="00901AE7"/>
    <w:pPr>
      <w:tabs>
        <w:tab w:val="center" w:pos="4760"/>
        <w:tab w:val="right" w:pos="9540"/>
      </w:tabs>
    </w:pPr>
    <w:rPr>
      <w:position w:val="-12"/>
      <w:sz w:val="22"/>
      <w:szCs w:val="22"/>
      <w:lang w:val="el-GR"/>
    </w:rPr>
  </w:style>
  <w:style w:type="paragraph" w:styleId="a4">
    <w:name w:val="Balloon Text"/>
    <w:basedOn w:val="a"/>
    <w:link w:val="Char"/>
    <w:rsid w:val="00442AD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442A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20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83824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en-GB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">
    <w:name w:val="Body Text 2"/>
    <w:basedOn w:val="a"/>
    <w:pPr>
      <w:jc w:val="both"/>
    </w:pPr>
    <w:rPr>
      <w:sz w:val="22"/>
      <w:lang w:val="el-GR"/>
    </w:rPr>
  </w:style>
  <w:style w:type="paragraph" w:customStyle="1" w:styleId="MTDisplayEquation">
    <w:name w:val="MTDisplayEquation"/>
    <w:basedOn w:val="a"/>
    <w:next w:val="a"/>
    <w:rsid w:val="00901AE7"/>
    <w:pPr>
      <w:tabs>
        <w:tab w:val="center" w:pos="4760"/>
        <w:tab w:val="right" w:pos="9540"/>
      </w:tabs>
    </w:pPr>
    <w:rPr>
      <w:position w:val="-12"/>
      <w:sz w:val="22"/>
      <w:szCs w:val="22"/>
      <w:lang w:val="el-GR"/>
    </w:rPr>
  </w:style>
  <w:style w:type="paragraph" w:styleId="a4">
    <w:name w:val="Balloon Text"/>
    <w:basedOn w:val="a"/>
    <w:link w:val="Char"/>
    <w:rsid w:val="00442AD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442A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20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83824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125545A9-0723-42D3-86F5-503557F2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ΕΘΝΙΚΟ ΚΑΙ ΚΑΠΟΔΙΣΤΡΙΑΚΟ ΠΑΝΕΠΙΣΤΗΜΙΟ ΑΘΗΝΩΝ</vt:lpstr>
      <vt:lpstr>ΕΘΝΙΚΟ ΚΑΙ ΚΑΠΟΔΙΣΤΡΙΑΚΟ ΠΑΝΕΠΙΣΤΗΜΙΟ ΑΘΗΝΩΝ</vt:lpstr>
    </vt:vector>
  </TitlesOfParts>
  <Company>SENSE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ΚΑΙ ΚΑΠΟΔΙΣΤΡΙΑΚΟ ΠΑΝΕΠΙΣΤΗΜΙΟ ΑΘΗΝΩΝ</dc:title>
  <dc:creator>temp</dc:creator>
  <cp:lastModifiedBy>Thanasis</cp:lastModifiedBy>
  <cp:revision>3</cp:revision>
  <cp:lastPrinted>2010-06-13T09:59:00Z</cp:lastPrinted>
  <dcterms:created xsi:type="dcterms:W3CDTF">2018-06-21T13:00:00Z</dcterms:created>
  <dcterms:modified xsi:type="dcterms:W3CDTF">2018-06-21T13:03:00Z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